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11A" w:rsidRDefault="00486A76">
      <w:pPr>
        <w:rPr>
          <w:sz w:val="20"/>
          <w:szCs w:val="20"/>
        </w:rPr>
      </w:pPr>
      <w:bookmarkStart w:id="0" w:name="page1"/>
      <w:bookmarkStart w:id="1" w:name="_GoBack"/>
      <w:bookmarkEnd w:id="0"/>
      <w:bookmarkEnd w:id="1"/>
      <w:r>
        <w:rPr>
          <w:rFonts w:ascii="Calibri" w:eastAsia="Calibri" w:hAnsi="Calibri" w:cs="Calibri"/>
          <w:b/>
          <w:bCs/>
          <w:sz w:val="24"/>
          <w:szCs w:val="24"/>
        </w:rPr>
        <w:br/>
      </w:r>
      <w:r w:rsidR="008571D3">
        <w:rPr>
          <w:rFonts w:ascii="Calibri" w:eastAsia="Calibri" w:hAnsi="Calibri" w:cs="Calibri"/>
          <w:b/>
          <w:bCs/>
          <w:sz w:val="24"/>
          <w:szCs w:val="24"/>
        </w:rPr>
        <w:t>Title: AbbVie/Pharmacyclics (PCYC)/KGI Medical Affairs Hematology Fellowship</w:t>
      </w:r>
    </w:p>
    <w:p w:rsidR="00C9711A" w:rsidRDefault="00C9711A">
      <w:pPr>
        <w:spacing w:line="137" w:lineRule="exact"/>
        <w:rPr>
          <w:sz w:val="24"/>
          <w:szCs w:val="24"/>
        </w:rPr>
      </w:pPr>
    </w:p>
    <w:p w:rsidR="00C9711A" w:rsidRDefault="008571D3">
      <w:pPr>
        <w:spacing w:line="243" w:lineRule="auto"/>
        <w:ind w:right="120"/>
        <w:rPr>
          <w:sz w:val="20"/>
          <w:szCs w:val="20"/>
        </w:rPr>
      </w:pPr>
      <w:r>
        <w:rPr>
          <w:rFonts w:ascii="Calibri" w:eastAsia="Calibri" w:hAnsi="Calibri" w:cs="Calibri"/>
          <w:sz w:val="24"/>
          <w:szCs w:val="24"/>
        </w:rPr>
        <w:t>Pharmacyclics is committed to the development and commercialization of novel therapies intended to improve the quality and duration of life and to resolve serious unmet medical needs for cancer patients. Pharmacyclics is a wholly-owned subsidiary of AbbVie (NYSE:ABBV), a global, research-based biopharmaceutical company. Oncology is a key therapeutic area for AbbVie, with a portfolio consisting of three marketed products and a pipeline containing multiple promising new molecules that are being studied in more than 200 clinical trials for over 20 different types of cancer.</w:t>
      </w:r>
    </w:p>
    <w:p w:rsidR="00C9711A" w:rsidRDefault="00C9711A">
      <w:pPr>
        <w:spacing w:line="268" w:lineRule="exact"/>
        <w:rPr>
          <w:sz w:val="24"/>
          <w:szCs w:val="24"/>
        </w:rPr>
      </w:pPr>
    </w:p>
    <w:p w:rsidR="00C9711A" w:rsidRDefault="008571D3">
      <w:pPr>
        <w:spacing w:line="245" w:lineRule="auto"/>
        <w:ind w:right="60"/>
        <w:rPr>
          <w:sz w:val="20"/>
          <w:szCs w:val="20"/>
        </w:rPr>
      </w:pPr>
      <w:r>
        <w:rPr>
          <w:rFonts w:ascii="Calibri" w:eastAsia="Calibri" w:hAnsi="Calibri" w:cs="Calibri"/>
          <w:sz w:val="24"/>
          <w:szCs w:val="24"/>
        </w:rPr>
        <w:t>More than 1,200 Pharmacyclics and AbbVie research scientists, clinicians, marketing, operations and corporate professionals work in the San Francisco Bay Area. They combine their expertise in immuno-oncology, stem cells, and cell-signaling with their knowledge of bispecific antibodies, antibody-drug conjugates (ADCs), and covalent-inhibitor technologies to discover and develop novel cancer treatments. Together, we are striving to outsmart cancer.</w:t>
      </w:r>
    </w:p>
    <w:p w:rsidR="00C9711A" w:rsidRDefault="00C9711A">
      <w:pPr>
        <w:spacing w:line="261" w:lineRule="exact"/>
        <w:rPr>
          <w:sz w:val="24"/>
          <w:szCs w:val="24"/>
        </w:rPr>
      </w:pPr>
    </w:p>
    <w:p w:rsidR="00C9711A" w:rsidRDefault="008571D3">
      <w:pPr>
        <w:rPr>
          <w:rFonts w:ascii="Calibri" w:eastAsia="Calibri" w:hAnsi="Calibri" w:cs="Calibri"/>
          <w:sz w:val="24"/>
          <w:szCs w:val="24"/>
        </w:rPr>
      </w:pPr>
      <w:r>
        <w:rPr>
          <w:rFonts w:ascii="Calibri" w:eastAsia="Calibri" w:hAnsi="Calibri" w:cs="Calibri"/>
          <w:sz w:val="24"/>
          <w:szCs w:val="24"/>
        </w:rPr>
        <w:t xml:space="preserve">To learn more about us, please visit us at </w:t>
      </w:r>
      <w:hyperlink r:id="rId7">
        <w:r>
          <w:rPr>
            <w:rFonts w:ascii="Calibri" w:eastAsia="Calibri" w:hAnsi="Calibri" w:cs="Calibri"/>
            <w:color w:val="0000FF"/>
            <w:sz w:val="24"/>
            <w:szCs w:val="24"/>
            <w:u w:val="single"/>
          </w:rPr>
          <w:t>http://www.pharmacyclics.com/</w:t>
        </w:r>
      </w:hyperlink>
    </w:p>
    <w:p w:rsidR="00C9711A" w:rsidRDefault="00C9711A">
      <w:pPr>
        <w:spacing w:line="200" w:lineRule="exact"/>
        <w:rPr>
          <w:sz w:val="24"/>
          <w:szCs w:val="24"/>
        </w:rPr>
      </w:pPr>
    </w:p>
    <w:p w:rsidR="00C9711A" w:rsidRDefault="00C9711A">
      <w:pPr>
        <w:spacing w:line="226" w:lineRule="exact"/>
        <w:rPr>
          <w:sz w:val="24"/>
          <w:szCs w:val="24"/>
        </w:rPr>
      </w:pPr>
    </w:p>
    <w:p w:rsidR="00C9711A" w:rsidRDefault="008571D3">
      <w:pPr>
        <w:rPr>
          <w:sz w:val="20"/>
          <w:szCs w:val="20"/>
        </w:rPr>
      </w:pPr>
      <w:r>
        <w:rPr>
          <w:rFonts w:ascii="Calibri" w:eastAsia="Calibri" w:hAnsi="Calibri" w:cs="Calibri"/>
          <w:b/>
          <w:bCs/>
          <w:sz w:val="24"/>
          <w:szCs w:val="24"/>
        </w:rPr>
        <w:t>Education and Experience:</w:t>
      </w:r>
    </w:p>
    <w:p w:rsidR="00C9711A" w:rsidRDefault="00C9711A">
      <w:pPr>
        <w:spacing w:line="137" w:lineRule="exact"/>
        <w:rPr>
          <w:sz w:val="24"/>
          <w:szCs w:val="24"/>
        </w:rPr>
      </w:pPr>
    </w:p>
    <w:p w:rsidR="00C9711A" w:rsidRDefault="008571D3">
      <w:pPr>
        <w:spacing w:line="243" w:lineRule="auto"/>
        <w:ind w:right="120"/>
        <w:rPr>
          <w:sz w:val="20"/>
          <w:szCs w:val="20"/>
        </w:rPr>
      </w:pPr>
      <w:r>
        <w:rPr>
          <w:rFonts w:ascii="Calibri" w:eastAsia="Calibri" w:hAnsi="Calibri" w:cs="Calibri"/>
          <w:sz w:val="24"/>
          <w:szCs w:val="24"/>
        </w:rPr>
        <w:t>A successful candidate must be a PharmD graduate from an ACPE accredited institution. Substantial background knowledge in Hematology/Oncology field is a plus. All candidates must have the right to work in the USA. The fellowship will provide comprehensive practical hands-on biopharmaceutical training and foster an environment of learning with a leading biopharmaceutical company. The fellow will be paired with leaders in different medical affairs functional areas. The collaborative environment will offer the fellow an enduring network and exposure to grow exceptional skills.</w:t>
      </w:r>
    </w:p>
    <w:p w:rsidR="00C9711A" w:rsidRDefault="00C9711A">
      <w:pPr>
        <w:spacing w:line="107" w:lineRule="exact"/>
        <w:rPr>
          <w:sz w:val="24"/>
          <w:szCs w:val="24"/>
        </w:rPr>
      </w:pPr>
    </w:p>
    <w:p w:rsidR="00C9711A" w:rsidRDefault="008571D3">
      <w:pPr>
        <w:rPr>
          <w:sz w:val="20"/>
          <w:szCs w:val="20"/>
        </w:rPr>
      </w:pPr>
      <w:r>
        <w:rPr>
          <w:rFonts w:ascii="Calibri" w:eastAsia="Calibri" w:hAnsi="Calibri" w:cs="Calibri"/>
          <w:b/>
          <w:bCs/>
          <w:sz w:val="24"/>
          <w:szCs w:val="24"/>
        </w:rPr>
        <w:t>Job Duties:</w:t>
      </w:r>
    </w:p>
    <w:p w:rsidR="00C9711A" w:rsidRDefault="00C9711A">
      <w:pPr>
        <w:spacing w:line="281" w:lineRule="exact"/>
        <w:rPr>
          <w:sz w:val="24"/>
          <w:szCs w:val="24"/>
        </w:rPr>
      </w:pPr>
    </w:p>
    <w:p w:rsidR="00C9711A" w:rsidRDefault="008571D3">
      <w:pPr>
        <w:numPr>
          <w:ilvl w:val="0"/>
          <w:numId w:val="1"/>
        </w:numPr>
        <w:tabs>
          <w:tab w:val="left" w:pos="720"/>
        </w:tabs>
        <w:ind w:left="720" w:right="100" w:hanging="360"/>
        <w:rPr>
          <w:rFonts w:ascii="Arial" w:eastAsia="Arial" w:hAnsi="Arial" w:cs="Arial"/>
          <w:sz w:val="20"/>
          <w:szCs w:val="20"/>
        </w:rPr>
      </w:pPr>
      <w:r>
        <w:rPr>
          <w:rFonts w:ascii="Calibri" w:eastAsia="Calibri" w:hAnsi="Calibri" w:cs="Calibri"/>
          <w:sz w:val="24"/>
          <w:szCs w:val="24"/>
        </w:rPr>
        <w:t>Provide unbiased scientifically balanced information on AbbVie/Pharmacyclics products to healthcare providers and patients</w:t>
      </w:r>
    </w:p>
    <w:p w:rsidR="00C9711A" w:rsidRDefault="00C9711A">
      <w:pPr>
        <w:spacing w:line="2" w:lineRule="exact"/>
        <w:rPr>
          <w:rFonts w:ascii="Arial" w:eastAsia="Arial" w:hAnsi="Arial" w:cs="Arial"/>
          <w:sz w:val="20"/>
          <w:szCs w:val="20"/>
        </w:rPr>
      </w:pPr>
    </w:p>
    <w:p w:rsidR="00C9711A" w:rsidRDefault="008571D3">
      <w:pPr>
        <w:numPr>
          <w:ilvl w:val="0"/>
          <w:numId w:val="1"/>
        </w:numPr>
        <w:tabs>
          <w:tab w:val="left" w:pos="720"/>
        </w:tabs>
        <w:spacing w:line="239" w:lineRule="auto"/>
        <w:ind w:left="720" w:right="160" w:hanging="360"/>
        <w:rPr>
          <w:rFonts w:ascii="Arial" w:eastAsia="Arial" w:hAnsi="Arial" w:cs="Arial"/>
          <w:sz w:val="20"/>
          <w:szCs w:val="20"/>
        </w:rPr>
      </w:pPr>
      <w:r>
        <w:rPr>
          <w:rFonts w:ascii="Calibri" w:eastAsia="Calibri" w:hAnsi="Calibri" w:cs="Calibri"/>
          <w:sz w:val="24"/>
          <w:szCs w:val="24"/>
        </w:rPr>
        <w:t>Support Medical Affairs by providing product and drug information expertise on a wide range on initiatives including the development of scientific and clinical content for standard response letters, FAQs, field medical tools, and compendia submission packages and AMCP dossier, medical review of medical &amp; promotional materials, staffing medical booth at scientific meetings and conferences and consulting on cross-functional activities</w:t>
      </w:r>
    </w:p>
    <w:p w:rsidR="00C9711A" w:rsidRDefault="00C9711A">
      <w:pPr>
        <w:spacing w:line="6" w:lineRule="exact"/>
        <w:rPr>
          <w:rFonts w:ascii="Arial" w:eastAsia="Arial" w:hAnsi="Arial" w:cs="Arial"/>
          <w:sz w:val="20"/>
          <w:szCs w:val="20"/>
        </w:rPr>
      </w:pPr>
    </w:p>
    <w:p w:rsidR="00C9711A" w:rsidRDefault="008571D3">
      <w:pPr>
        <w:numPr>
          <w:ilvl w:val="0"/>
          <w:numId w:val="1"/>
        </w:numPr>
        <w:tabs>
          <w:tab w:val="left" w:pos="720"/>
        </w:tabs>
        <w:spacing w:line="239" w:lineRule="auto"/>
        <w:ind w:left="720" w:right="700" w:hanging="360"/>
        <w:rPr>
          <w:rFonts w:ascii="Arial" w:eastAsia="Arial" w:hAnsi="Arial" w:cs="Arial"/>
          <w:sz w:val="20"/>
          <w:szCs w:val="20"/>
        </w:rPr>
      </w:pPr>
      <w:r>
        <w:rPr>
          <w:rFonts w:ascii="Calibri" w:eastAsia="Calibri" w:hAnsi="Calibri" w:cs="Calibri"/>
          <w:sz w:val="24"/>
          <w:szCs w:val="24"/>
        </w:rPr>
        <w:t>Develop strong literature searching skills and critically appraise published and unpublished clinical data regarding marketed and investigational products and/or Heme/Onc interests at AbbVie</w:t>
      </w:r>
    </w:p>
    <w:p w:rsidR="00C9711A" w:rsidRDefault="00C9711A">
      <w:pPr>
        <w:spacing w:line="3" w:lineRule="exact"/>
        <w:rPr>
          <w:rFonts w:ascii="Arial" w:eastAsia="Arial" w:hAnsi="Arial" w:cs="Arial"/>
          <w:sz w:val="20"/>
          <w:szCs w:val="20"/>
        </w:rPr>
      </w:pPr>
    </w:p>
    <w:p w:rsidR="00C9711A" w:rsidRDefault="008571D3">
      <w:pPr>
        <w:numPr>
          <w:ilvl w:val="0"/>
          <w:numId w:val="1"/>
        </w:numPr>
        <w:tabs>
          <w:tab w:val="left" w:pos="720"/>
        </w:tabs>
        <w:spacing w:line="251" w:lineRule="auto"/>
        <w:ind w:left="720" w:hanging="360"/>
        <w:rPr>
          <w:rFonts w:ascii="Arial" w:eastAsia="Arial" w:hAnsi="Arial" w:cs="Arial"/>
          <w:sz w:val="20"/>
          <w:szCs w:val="20"/>
        </w:rPr>
      </w:pPr>
      <w:r>
        <w:rPr>
          <w:rFonts w:ascii="Calibri" w:eastAsia="Calibri" w:hAnsi="Calibri" w:cs="Calibri"/>
          <w:sz w:val="24"/>
          <w:szCs w:val="24"/>
        </w:rPr>
        <w:t>Support the overall operational function of a medical affairs department by participating in process improvement initiatives, tracking and reporting key operational metrics, and supporting the investigator-initiated studies</w:t>
      </w:r>
    </w:p>
    <w:p w:rsidR="00C9711A" w:rsidRDefault="00C9711A">
      <w:pPr>
        <w:sectPr w:rsidR="00C9711A">
          <w:headerReference w:type="default" r:id="rId8"/>
          <w:pgSz w:w="12240" w:h="15840"/>
          <w:pgMar w:top="1418" w:right="1440" w:bottom="1440" w:left="1440" w:header="0" w:footer="0" w:gutter="0"/>
          <w:cols w:space="720" w:equalWidth="0">
            <w:col w:w="9360"/>
          </w:cols>
        </w:sectPr>
      </w:pPr>
    </w:p>
    <w:p w:rsidR="00C9711A" w:rsidRDefault="008571D3">
      <w:pPr>
        <w:numPr>
          <w:ilvl w:val="0"/>
          <w:numId w:val="2"/>
        </w:numPr>
        <w:tabs>
          <w:tab w:val="left" w:pos="720"/>
        </w:tabs>
        <w:spacing w:line="239" w:lineRule="auto"/>
        <w:ind w:left="720" w:right="380" w:hanging="360"/>
        <w:rPr>
          <w:rFonts w:ascii="Arial" w:eastAsia="Arial" w:hAnsi="Arial" w:cs="Arial"/>
          <w:sz w:val="20"/>
          <w:szCs w:val="20"/>
        </w:rPr>
      </w:pPr>
      <w:bookmarkStart w:id="2" w:name="page2"/>
      <w:bookmarkEnd w:id="2"/>
      <w:r>
        <w:rPr>
          <w:rFonts w:ascii="Calibri" w:eastAsia="Calibri" w:hAnsi="Calibri" w:cs="Calibri"/>
          <w:sz w:val="24"/>
          <w:szCs w:val="24"/>
        </w:rPr>
        <w:lastRenderedPageBreak/>
        <w:t>Support the generation and operation of Publications for PCYC trials, including Phase 3/4b</w:t>
      </w:r>
    </w:p>
    <w:p w:rsidR="00C9711A" w:rsidRDefault="00C9711A">
      <w:pPr>
        <w:spacing w:line="2" w:lineRule="exact"/>
        <w:rPr>
          <w:rFonts w:ascii="Arial" w:eastAsia="Arial" w:hAnsi="Arial" w:cs="Arial"/>
          <w:sz w:val="20"/>
          <w:szCs w:val="20"/>
        </w:rPr>
      </w:pPr>
    </w:p>
    <w:p w:rsidR="00C9711A" w:rsidRDefault="008571D3">
      <w:pPr>
        <w:numPr>
          <w:ilvl w:val="0"/>
          <w:numId w:val="2"/>
        </w:numPr>
        <w:tabs>
          <w:tab w:val="left" w:pos="720"/>
        </w:tabs>
        <w:spacing w:line="239" w:lineRule="auto"/>
        <w:ind w:left="720" w:right="140" w:hanging="360"/>
        <w:rPr>
          <w:rFonts w:ascii="Arial" w:eastAsia="Arial" w:hAnsi="Arial" w:cs="Arial"/>
          <w:sz w:val="20"/>
          <w:szCs w:val="20"/>
        </w:rPr>
      </w:pPr>
      <w:r>
        <w:rPr>
          <w:rFonts w:ascii="Calibri" w:eastAsia="Calibri" w:hAnsi="Calibri" w:cs="Calibri"/>
          <w:sz w:val="24"/>
          <w:szCs w:val="24"/>
        </w:rPr>
        <w:t>Collaborate with Health Economics and Outcome Research to support ongoing projects that demonstrate economic impact. Learn to critically evaluate research methods</w:t>
      </w:r>
    </w:p>
    <w:p w:rsidR="00C9711A" w:rsidRDefault="00C9711A">
      <w:pPr>
        <w:spacing w:line="2" w:lineRule="exact"/>
        <w:rPr>
          <w:rFonts w:ascii="Arial" w:eastAsia="Arial" w:hAnsi="Arial" w:cs="Arial"/>
          <w:sz w:val="20"/>
          <w:szCs w:val="20"/>
        </w:rPr>
      </w:pPr>
    </w:p>
    <w:p w:rsidR="00C9711A" w:rsidRDefault="008571D3">
      <w:pPr>
        <w:numPr>
          <w:ilvl w:val="0"/>
          <w:numId w:val="2"/>
        </w:numPr>
        <w:tabs>
          <w:tab w:val="left" w:pos="720"/>
        </w:tabs>
        <w:spacing w:line="239" w:lineRule="auto"/>
        <w:ind w:left="720" w:right="40" w:hanging="360"/>
        <w:rPr>
          <w:rFonts w:ascii="Arial" w:eastAsia="Arial" w:hAnsi="Arial" w:cs="Arial"/>
          <w:sz w:val="20"/>
          <w:szCs w:val="20"/>
        </w:rPr>
      </w:pPr>
      <w:r>
        <w:rPr>
          <w:rFonts w:ascii="Calibri" w:eastAsia="Calibri" w:hAnsi="Calibri" w:cs="Calibri"/>
          <w:sz w:val="24"/>
          <w:szCs w:val="24"/>
        </w:rPr>
        <w:t>Collaborate with the Clinical Value &amp; Outcomes Team to support in the creation of value evidence dissemination projects that support better outcomes with safer and more efficient use. Learn to critically evaluate logistics in disseminating findings.</w:t>
      </w:r>
    </w:p>
    <w:p w:rsidR="00C9711A" w:rsidRDefault="00C9711A">
      <w:pPr>
        <w:spacing w:line="3" w:lineRule="exact"/>
        <w:rPr>
          <w:rFonts w:ascii="Arial" w:eastAsia="Arial" w:hAnsi="Arial" w:cs="Arial"/>
          <w:sz w:val="20"/>
          <w:szCs w:val="20"/>
        </w:rPr>
      </w:pPr>
    </w:p>
    <w:p w:rsidR="00C9711A" w:rsidRDefault="008571D3">
      <w:pPr>
        <w:numPr>
          <w:ilvl w:val="0"/>
          <w:numId w:val="2"/>
        </w:numPr>
        <w:tabs>
          <w:tab w:val="left" w:pos="720"/>
        </w:tabs>
        <w:ind w:left="720" w:right="40" w:hanging="360"/>
        <w:rPr>
          <w:rFonts w:ascii="Arial" w:eastAsia="Arial" w:hAnsi="Arial" w:cs="Arial"/>
          <w:sz w:val="20"/>
          <w:szCs w:val="20"/>
        </w:rPr>
      </w:pPr>
      <w:r>
        <w:rPr>
          <w:rFonts w:ascii="Calibri" w:eastAsia="Calibri" w:hAnsi="Calibri" w:cs="Calibri"/>
          <w:sz w:val="24"/>
          <w:szCs w:val="24"/>
        </w:rPr>
        <w:t>Collaborate with cross-functional groups through AbbVie/Pharmacyclics that will expose fellow to strategy and the opportunity to work in multiple settings</w:t>
      </w:r>
    </w:p>
    <w:p w:rsidR="00C9711A" w:rsidRDefault="00C9711A">
      <w:pPr>
        <w:spacing w:line="2" w:lineRule="exact"/>
        <w:rPr>
          <w:rFonts w:ascii="Arial" w:eastAsia="Arial" w:hAnsi="Arial" w:cs="Arial"/>
          <w:sz w:val="20"/>
          <w:szCs w:val="20"/>
        </w:rPr>
      </w:pPr>
    </w:p>
    <w:p w:rsidR="00C9711A" w:rsidRDefault="008571D3">
      <w:pPr>
        <w:numPr>
          <w:ilvl w:val="0"/>
          <w:numId w:val="2"/>
        </w:numPr>
        <w:tabs>
          <w:tab w:val="left" w:pos="720"/>
        </w:tabs>
        <w:spacing w:line="239" w:lineRule="auto"/>
        <w:ind w:left="720" w:right="1480" w:hanging="360"/>
        <w:rPr>
          <w:rFonts w:ascii="Arial" w:eastAsia="Arial" w:hAnsi="Arial" w:cs="Arial"/>
          <w:sz w:val="20"/>
          <w:szCs w:val="20"/>
        </w:rPr>
      </w:pPr>
      <w:r>
        <w:rPr>
          <w:rFonts w:ascii="Calibri" w:eastAsia="Calibri" w:hAnsi="Calibri" w:cs="Calibri"/>
          <w:sz w:val="24"/>
          <w:szCs w:val="24"/>
        </w:rPr>
        <w:t>Learn and comply with regulations set by KGI, AbbVie/Pharmacyclics, and national/global regulatory agencies</w:t>
      </w:r>
    </w:p>
    <w:p w:rsidR="00C9711A" w:rsidRDefault="00C9711A">
      <w:pPr>
        <w:spacing w:line="2" w:lineRule="exact"/>
        <w:rPr>
          <w:rFonts w:ascii="Arial" w:eastAsia="Arial" w:hAnsi="Arial" w:cs="Arial"/>
          <w:sz w:val="20"/>
          <w:szCs w:val="20"/>
        </w:rPr>
      </w:pPr>
    </w:p>
    <w:p w:rsidR="00C9711A" w:rsidRDefault="008571D3">
      <w:pPr>
        <w:numPr>
          <w:ilvl w:val="0"/>
          <w:numId w:val="2"/>
        </w:numPr>
        <w:tabs>
          <w:tab w:val="left" w:pos="720"/>
        </w:tabs>
        <w:spacing w:line="251" w:lineRule="auto"/>
        <w:ind w:left="720" w:right="320" w:hanging="360"/>
        <w:rPr>
          <w:rFonts w:ascii="Arial" w:eastAsia="Arial" w:hAnsi="Arial" w:cs="Arial"/>
          <w:sz w:val="20"/>
          <w:szCs w:val="20"/>
        </w:rPr>
      </w:pPr>
      <w:r>
        <w:rPr>
          <w:rFonts w:ascii="Calibri" w:eastAsia="Calibri" w:hAnsi="Calibri" w:cs="Calibri"/>
          <w:sz w:val="24"/>
          <w:szCs w:val="24"/>
        </w:rPr>
        <w:t>The AbbVie/PCYC-KGI Fellow will have academic responsibilities at the Keck School of Pharmacy and Health Sciences which may include precepting students, publishing abstracts, posters, and representing the fellowship to pharmacy students.</w:t>
      </w:r>
    </w:p>
    <w:p w:rsidR="00C9711A" w:rsidRDefault="00C9711A">
      <w:pPr>
        <w:spacing w:line="237" w:lineRule="exact"/>
        <w:rPr>
          <w:sz w:val="20"/>
          <w:szCs w:val="20"/>
        </w:rPr>
      </w:pPr>
    </w:p>
    <w:p w:rsidR="00C9711A" w:rsidRDefault="008571D3">
      <w:pPr>
        <w:rPr>
          <w:sz w:val="20"/>
          <w:szCs w:val="20"/>
        </w:rPr>
      </w:pPr>
      <w:r>
        <w:rPr>
          <w:rFonts w:ascii="Calibri" w:eastAsia="Calibri" w:hAnsi="Calibri" w:cs="Calibri"/>
          <w:b/>
          <w:bCs/>
          <w:sz w:val="24"/>
          <w:szCs w:val="24"/>
        </w:rPr>
        <w:t>Desired Skills:</w:t>
      </w:r>
    </w:p>
    <w:p w:rsidR="00C9711A" w:rsidRDefault="00C9711A">
      <w:pPr>
        <w:spacing w:line="281" w:lineRule="exact"/>
        <w:rPr>
          <w:sz w:val="20"/>
          <w:szCs w:val="20"/>
        </w:rPr>
      </w:pPr>
    </w:p>
    <w:p w:rsidR="00C9711A" w:rsidRDefault="008571D3">
      <w:pPr>
        <w:numPr>
          <w:ilvl w:val="0"/>
          <w:numId w:val="3"/>
        </w:numPr>
        <w:tabs>
          <w:tab w:val="left" w:pos="720"/>
        </w:tabs>
        <w:ind w:left="720" w:hanging="360"/>
        <w:rPr>
          <w:rFonts w:ascii="Arial" w:eastAsia="Arial" w:hAnsi="Arial" w:cs="Arial"/>
          <w:sz w:val="20"/>
          <w:szCs w:val="20"/>
        </w:rPr>
      </w:pPr>
      <w:r>
        <w:rPr>
          <w:rFonts w:ascii="Calibri" w:eastAsia="Calibri" w:hAnsi="Calibri" w:cs="Calibri"/>
          <w:sz w:val="24"/>
          <w:szCs w:val="24"/>
        </w:rPr>
        <w:t>Hematology/Oncology interest and experience is strongly desired</w:t>
      </w:r>
    </w:p>
    <w:p w:rsidR="00C9711A" w:rsidRDefault="008571D3">
      <w:pPr>
        <w:numPr>
          <w:ilvl w:val="0"/>
          <w:numId w:val="3"/>
        </w:numPr>
        <w:tabs>
          <w:tab w:val="left" w:pos="720"/>
        </w:tabs>
        <w:ind w:left="720" w:right="60" w:hanging="360"/>
        <w:rPr>
          <w:rFonts w:ascii="Arial" w:eastAsia="Arial" w:hAnsi="Arial" w:cs="Arial"/>
          <w:sz w:val="20"/>
          <w:szCs w:val="20"/>
        </w:rPr>
      </w:pPr>
      <w:r>
        <w:rPr>
          <w:rFonts w:ascii="Calibri" w:eastAsia="Calibri" w:hAnsi="Calibri" w:cs="Calibri"/>
          <w:sz w:val="24"/>
          <w:szCs w:val="24"/>
        </w:rPr>
        <w:t>Strong work ethic and sense of adaptability. Candidate must demonstrate ability to take direction and work both independently and as part of a team.</w:t>
      </w:r>
    </w:p>
    <w:p w:rsidR="00C9711A" w:rsidRDefault="00C9711A">
      <w:pPr>
        <w:spacing w:line="2" w:lineRule="exact"/>
        <w:rPr>
          <w:rFonts w:ascii="Arial" w:eastAsia="Arial" w:hAnsi="Arial" w:cs="Arial"/>
          <w:sz w:val="20"/>
          <w:szCs w:val="20"/>
        </w:rPr>
      </w:pPr>
    </w:p>
    <w:p w:rsidR="00C9711A" w:rsidRDefault="008571D3">
      <w:pPr>
        <w:numPr>
          <w:ilvl w:val="0"/>
          <w:numId w:val="3"/>
        </w:numPr>
        <w:tabs>
          <w:tab w:val="left" w:pos="720"/>
        </w:tabs>
        <w:spacing w:line="239" w:lineRule="auto"/>
        <w:ind w:left="720" w:right="720" w:hanging="360"/>
        <w:rPr>
          <w:rFonts w:ascii="Arial" w:eastAsia="Arial" w:hAnsi="Arial" w:cs="Arial"/>
          <w:sz w:val="20"/>
          <w:szCs w:val="20"/>
        </w:rPr>
      </w:pPr>
      <w:r>
        <w:rPr>
          <w:rFonts w:ascii="Calibri" w:eastAsia="Calibri" w:hAnsi="Calibri" w:cs="Calibri"/>
          <w:sz w:val="24"/>
          <w:szCs w:val="24"/>
        </w:rPr>
        <w:t>Pro-active approach to assigned responsibilities, with responsiveness to prioritize according to needs of the research project.</w:t>
      </w:r>
    </w:p>
    <w:p w:rsidR="00C9711A" w:rsidRDefault="00C9711A">
      <w:pPr>
        <w:spacing w:line="2" w:lineRule="exact"/>
        <w:rPr>
          <w:rFonts w:ascii="Arial" w:eastAsia="Arial" w:hAnsi="Arial" w:cs="Arial"/>
          <w:sz w:val="20"/>
          <w:szCs w:val="20"/>
        </w:rPr>
      </w:pPr>
    </w:p>
    <w:p w:rsidR="00C9711A" w:rsidRDefault="008571D3">
      <w:pPr>
        <w:numPr>
          <w:ilvl w:val="0"/>
          <w:numId w:val="3"/>
        </w:numPr>
        <w:tabs>
          <w:tab w:val="left" w:pos="720"/>
        </w:tabs>
        <w:spacing w:line="239" w:lineRule="auto"/>
        <w:ind w:left="720" w:right="620" w:hanging="360"/>
        <w:rPr>
          <w:rFonts w:ascii="Arial" w:eastAsia="Arial" w:hAnsi="Arial" w:cs="Arial"/>
          <w:sz w:val="20"/>
          <w:szCs w:val="20"/>
        </w:rPr>
      </w:pPr>
      <w:r>
        <w:rPr>
          <w:rFonts w:ascii="Calibri" w:eastAsia="Calibri" w:hAnsi="Calibri" w:cs="Calibri"/>
          <w:sz w:val="24"/>
          <w:szCs w:val="24"/>
        </w:rPr>
        <w:t>Reliability, strong attention to detail, accuracy and effective organizational skills in planning and overseeing multiple parallel long-term projects.</w:t>
      </w:r>
    </w:p>
    <w:p w:rsidR="00C9711A" w:rsidRDefault="00C9711A">
      <w:pPr>
        <w:spacing w:line="2" w:lineRule="exact"/>
        <w:rPr>
          <w:rFonts w:ascii="Arial" w:eastAsia="Arial" w:hAnsi="Arial" w:cs="Arial"/>
          <w:sz w:val="20"/>
          <w:szCs w:val="20"/>
        </w:rPr>
      </w:pPr>
    </w:p>
    <w:p w:rsidR="00C9711A" w:rsidRDefault="008571D3">
      <w:pPr>
        <w:numPr>
          <w:ilvl w:val="0"/>
          <w:numId w:val="3"/>
        </w:numPr>
        <w:tabs>
          <w:tab w:val="left" w:pos="720"/>
        </w:tabs>
        <w:spacing w:line="239" w:lineRule="auto"/>
        <w:ind w:left="720" w:right="140" w:hanging="360"/>
        <w:rPr>
          <w:rFonts w:ascii="Arial" w:eastAsia="Arial" w:hAnsi="Arial" w:cs="Arial"/>
          <w:sz w:val="20"/>
          <w:szCs w:val="20"/>
        </w:rPr>
      </w:pPr>
      <w:r>
        <w:rPr>
          <w:rFonts w:ascii="Calibri" w:eastAsia="Calibri" w:hAnsi="Calibri" w:cs="Calibri"/>
          <w:sz w:val="24"/>
          <w:szCs w:val="24"/>
        </w:rPr>
        <w:t>Experience with gathering, processing, analyzing and critically evaluating large volumes of data.</w:t>
      </w:r>
    </w:p>
    <w:p w:rsidR="00C9711A" w:rsidRDefault="00C9711A">
      <w:pPr>
        <w:spacing w:line="2" w:lineRule="exact"/>
        <w:rPr>
          <w:rFonts w:ascii="Arial" w:eastAsia="Arial" w:hAnsi="Arial" w:cs="Arial"/>
          <w:sz w:val="20"/>
          <w:szCs w:val="20"/>
        </w:rPr>
      </w:pPr>
    </w:p>
    <w:p w:rsidR="00C9711A" w:rsidRDefault="008571D3">
      <w:pPr>
        <w:numPr>
          <w:ilvl w:val="0"/>
          <w:numId w:val="3"/>
        </w:numPr>
        <w:tabs>
          <w:tab w:val="left" w:pos="720"/>
        </w:tabs>
        <w:ind w:left="720" w:hanging="360"/>
        <w:rPr>
          <w:rFonts w:ascii="Arial" w:eastAsia="Arial" w:hAnsi="Arial" w:cs="Arial"/>
          <w:sz w:val="20"/>
          <w:szCs w:val="20"/>
        </w:rPr>
      </w:pPr>
      <w:r>
        <w:rPr>
          <w:rFonts w:ascii="Calibri" w:eastAsia="Calibri" w:hAnsi="Calibri" w:cs="Calibri"/>
          <w:sz w:val="24"/>
          <w:szCs w:val="24"/>
        </w:rPr>
        <w:t>Commitment to communicating respectfully and effectively within the team.</w:t>
      </w:r>
    </w:p>
    <w:p w:rsidR="00C9711A" w:rsidRDefault="008571D3">
      <w:pPr>
        <w:numPr>
          <w:ilvl w:val="0"/>
          <w:numId w:val="3"/>
        </w:numPr>
        <w:tabs>
          <w:tab w:val="left" w:pos="720"/>
        </w:tabs>
        <w:ind w:left="720" w:hanging="360"/>
        <w:rPr>
          <w:rFonts w:ascii="Arial" w:eastAsia="Arial" w:hAnsi="Arial" w:cs="Arial"/>
          <w:sz w:val="20"/>
          <w:szCs w:val="20"/>
        </w:rPr>
      </w:pPr>
      <w:r>
        <w:rPr>
          <w:rFonts w:ascii="Calibri" w:eastAsia="Calibri" w:hAnsi="Calibri" w:cs="Calibri"/>
          <w:sz w:val="24"/>
          <w:szCs w:val="24"/>
        </w:rPr>
        <w:t>Demonstrated scientific writing skills.</w:t>
      </w:r>
    </w:p>
    <w:p w:rsidR="00C9711A" w:rsidRDefault="00C9711A">
      <w:pPr>
        <w:spacing w:line="278" w:lineRule="exact"/>
        <w:rPr>
          <w:sz w:val="20"/>
          <w:szCs w:val="20"/>
        </w:rPr>
      </w:pPr>
    </w:p>
    <w:p w:rsidR="00C9711A" w:rsidRDefault="008571D3">
      <w:pPr>
        <w:rPr>
          <w:sz w:val="20"/>
          <w:szCs w:val="20"/>
        </w:rPr>
      </w:pPr>
      <w:r>
        <w:rPr>
          <w:rFonts w:ascii="Calibri" w:eastAsia="Calibri" w:hAnsi="Calibri" w:cs="Calibri"/>
          <w:b/>
          <w:bCs/>
          <w:sz w:val="24"/>
          <w:szCs w:val="24"/>
        </w:rPr>
        <w:t>Application Process:</w:t>
      </w:r>
    </w:p>
    <w:p w:rsidR="00C9711A" w:rsidRDefault="00C9711A">
      <w:pPr>
        <w:spacing w:line="3" w:lineRule="exact"/>
        <w:rPr>
          <w:sz w:val="20"/>
          <w:szCs w:val="20"/>
        </w:rPr>
      </w:pPr>
    </w:p>
    <w:p w:rsidR="00C9711A" w:rsidRDefault="008571D3">
      <w:pPr>
        <w:spacing w:line="245" w:lineRule="auto"/>
        <w:ind w:right="360"/>
        <w:rPr>
          <w:rFonts w:ascii="Calibri" w:eastAsia="Calibri" w:hAnsi="Calibri" w:cs="Calibri"/>
          <w:sz w:val="24"/>
          <w:szCs w:val="24"/>
        </w:rPr>
      </w:pPr>
      <w:r>
        <w:rPr>
          <w:rFonts w:ascii="Calibri" w:eastAsia="Calibri" w:hAnsi="Calibri" w:cs="Calibri"/>
          <w:sz w:val="24"/>
          <w:szCs w:val="24"/>
        </w:rPr>
        <w:t xml:space="preserve">Candidates must submit all the following application materials to </w:t>
      </w:r>
      <w:r w:rsidR="00234E51">
        <w:rPr>
          <w:rFonts w:ascii="Calibri" w:eastAsia="Calibri" w:hAnsi="Calibri" w:cs="Calibri"/>
          <w:sz w:val="24"/>
          <w:szCs w:val="24"/>
        </w:rPr>
        <w:t xml:space="preserve">Mandy Renfro, PharmD, or Obinna Ekechukwu, PharmD, at </w:t>
      </w:r>
      <w:hyperlink r:id="rId9" w:history="1">
        <w:r w:rsidR="00234E51" w:rsidRPr="009E4D57">
          <w:rPr>
            <w:rStyle w:val="Hyperlink"/>
            <w:rFonts w:ascii="Calibri" w:eastAsia="Calibri" w:hAnsi="Calibri" w:cs="Calibri"/>
            <w:sz w:val="24"/>
            <w:szCs w:val="24"/>
          </w:rPr>
          <w:t>kgifellowships@kgi.edu</w:t>
        </w:r>
      </w:hyperlink>
      <w:r w:rsidR="00234E51">
        <w:rPr>
          <w:rFonts w:ascii="Calibri" w:eastAsia="Calibri" w:hAnsi="Calibri" w:cs="Calibri"/>
          <w:sz w:val="24"/>
          <w:szCs w:val="24"/>
        </w:rPr>
        <w:t xml:space="preserve"> </w:t>
      </w:r>
    </w:p>
    <w:p w:rsidR="00C9711A" w:rsidRDefault="00C9711A">
      <w:pPr>
        <w:spacing w:line="249" w:lineRule="exact"/>
        <w:rPr>
          <w:sz w:val="20"/>
          <w:szCs w:val="20"/>
        </w:rPr>
      </w:pPr>
    </w:p>
    <w:p w:rsidR="00234E51" w:rsidRPr="00E87DF6" w:rsidRDefault="00234E51">
      <w:pPr>
        <w:numPr>
          <w:ilvl w:val="0"/>
          <w:numId w:val="4"/>
        </w:numPr>
        <w:tabs>
          <w:tab w:val="left" w:pos="720"/>
        </w:tabs>
        <w:ind w:left="720" w:hanging="360"/>
        <w:rPr>
          <w:rFonts w:asciiTheme="minorHAnsi" w:eastAsia="Arial" w:hAnsiTheme="minorHAnsi" w:cstheme="minorHAnsi"/>
          <w:sz w:val="24"/>
          <w:szCs w:val="24"/>
        </w:rPr>
      </w:pPr>
      <w:r w:rsidRPr="00E87DF6">
        <w:rPr>
          <w:rFonts w:asciiTheme="minorHAnsi" w:eastAsia="Arial" w:hAnsiTheme="minorHAnsi" w:cstheme="minorHAnsi"/>
          <w:sz w:val="24"/>
          <w:szCs w:val="24"/>
        </w:rPr>
        <w:t xml:space="preserve">One (1) Letter of Recommendation </w:t>
      </w:r>
    </w:p>
    <w:p w:rsidR="00C9711A" w:rsidRPr="00E87DF6" w:rsidRDefault="008571D3">
      <w:pPr>
        <w:numPr>
          <w:ilvl w:val="0"/>
          <w:numId w:val="4"/>
        </w:numPr>
        <w:tabs>
          <w:tab w:val="left" w:pos="720"/>
        </w:tabs>
        <w:ind w:left="720" w:hanging="360"/>
        <w:rPr>
          <w:rFonts w:ascii="Arial" w:eastAsia="Arial" w:hAnsi="Arial" w:cs="Arial"/>
          <w:sz w:val="24"/>
          <w:szCs w:val="24"/>
        </w:rPr>
      </w:pPr>
      <w:r w:rsidRPr="00234E51">
        <w:rPr>
          <w:rFonts w:ascii="Calibri" w:eastAsia="Calibri" w:hAnsi="Calibri" w:cs="Calibri"/>
          <w:sz w:val="24"/>
          <w:szCs w:val="24"/>
        </w:rPr>
        <w:t>Letter of Intent.</w:t>
      </w:r>
    </w:p>
    <w:p w:rsidR="00C9711A" w:rsidRDefault="008571D3">
      <w:pPr>
        <w:numPr>
          <w:ilvl w:val="0"/>
          <w:numId w:val="4"/>
        </w:numPr>
        <w:tabs>
          <w:tab w:val="left" w:pos="720"/>
        </w:tabs>
        <w:ind w:left="720" w:hanging="360"/>
        <w:rPr>
          <w:rFonts w:ascii="Arial" w:eastAsia="Arial" w:hAnsi="Arial" w:cs="Arial"/>
          <w:sz w:val="20"/>
          <w:szCs w:val="20"/>
        </w:rPr>
      </w:pPr>
      <w:r>
        <w:rPr>
          <w:rFonts w:ascii="Calibri" w:eastAsia="Calibri" w:hAnsi="Calibri" w:cs="Calibri"/>
          <w:sz w:val="24"/>
          <w:szCs w:val="24"/>
        </w:rPr>
        <w:t>Updated curriculum vitae (CV).</w:t>
      </w:r>
    </w:p>
    <w:p w:rsidR="00C9711A" w:rsidRDefault="008571D3">
      <w:pPr>
        <w:numPr>
          <w:ilvl w:val="0"/>
          <w:numId w:val="4"/>
        </w:numPr>
        <w:tabs>
          <w:tab w:val="left" w:pos="720"/>
        </w:tabs>
        <w:ind w:left="720" w:hanging="360"/>
        <w:rPr>
          <w:rFonts w:ascii="Arial" w:eastAsia="Arial" w:hAnsi="Arial" w:cs="Arial"/>
          <w:sz w:val="20"/>
          <w:szCs w:val="20"/>
        </w:rPr>
      </w:pPr>
      <w:r>
        <w:rPr>
          <w:rFonts w:ascii="Calibri" w:eastAsia="Calibri" w:hAnsi="Calibri" w:cs="Calibri"/>
          <w:sz w:val="24"/>
          <w:szCs w:val="24"/>
        </w:rPr>
        <w:t>Unofficial pharmacy school transcripts</w:t>
      </w:r>
    </w:p>
    <w:p w:rsidR="00C9711A" w:rsidRDefault="00C9711A">
      <w:pPr>
        <w:spacing w:line="281" w:lineRule="exact"/>
        <w:rPr>
          <w:sz w:val="20"/>
          <w:szCs w:val="20"/>
        </w:rPr>
      </w:pPr>
    </w:p>
    <w:p w:rsidR="004F63E0" w:rsidRPr="004F63E0" w:rsidRDefault="004F63E0" w:rsidP="004F63E0">
      <w:pPr>
        <w:tabs>
          <w:tab w:val="left" w:pos="720"/>
        </w:tabs>
        <w:ind w:right="60"/>
        <w:rPr>
          <w:rFonts w:ascii="Calibri" w:eastAsia="Calibri" w:hAnsi="Calibri" w:cs="Calibri"/>
          <w:sz w:val="24"/>
          <w:szCs w:val="24"/>
        </w:rPr>
      </w:pPr>
      <w:r w:rsidRPr="004F63E0">
        <w:rPr>
          <w:rFonts w:ascii="Calibri" w:eastAsia="Calibri" w:hAnsi="Calibri" w:cs="Calibri"/>
          <w:sz w:val="24"/>
          <w:szCs w:val="24"/>
        </w:rPr>
        <w:t xml:space="preserve">The deadline </w:t>
      </w:r>
      <w:r w:rsidR="00234E51">
        <w:rPr>
          <w:rFonts w:ascii="Calibri" w:eastAsia="Calibri" w:hAnsi="Calibri" w:cs="Calibri"/>
          <w:sz w:val="24"/>
          <w:szCs w:val="24"/>
        </w:rPr>
        <w:t>to submit application materials is November 8</w:t>
      </w:r>
      <w:r w:rsidR="00234E51" w:rsidRPr="00E87DF6">
        <w:rPr>
          <w:rFonts w:ascii="Calibri" w:eastAsia="Calibri" w:hAnsi="Calibri" w:cs="Calibri"/>
          <w:sz w:val="24"/>
          <w:szCs w:val="24"/>
          <w:vertAlign w:val="superscript"/>
        </w:rPr>
        <w:t>th</w:t>
      </w:r>
      <w:r w:rsidR="00234E51">
        <w:rPr>
          <w:rFonts w:ascii="Calibri" w:eastAsia="Calibri" w:hAnsi="Calibri" w:cs="Calibri"/>
          <w:sz w:val="24"/>
          <w:szCs w:val="24"/>
        </w:rPr>
        <w:t xml:space="preserve">, 2020 at 11:59 PM PST. </w:t>
      </w:r>
      <w:r w:rsidRPr="004F63E0">
        <w:rPr>
          <w:rFonts w:ascii="Calibri" w:eastAsia="Calibri" w:hAnsi="Calibri" w:cs="Calibri"/>
          <w:sz w:val="24"/>
          <w:szCs w:val="24"/>
        </w:rPr>
        <w:t xml:space="preserve"> .</w:t>
      </w:r>
      <w:r>
        <w:rPr>
          <w:rFonts w:ascii="Calibri" w:eastAsia="Calibri" w:hAnsi="Calibri" w:cs="Calibri"/>
          <w:sz w:val="24"/>
          <w:szCs w:val="24"/>
        </w:rPr>
        <w:t xml:space="preserve"> </w:t>
      </w:r>
    </w:p>
    <w:p w:rsidR="004F63E0" w:rsidRDefault="004F63E0" w:rsidP="004F63E0">
      <w:pPr>
        <w:tabs>
          <w:tab w:val="left" w:pos="720"/>
        </w:tabs>
        <w:ind w:right="60"/>
        <w:rPr>
          <w:rFonts w:ascii="Calibri" w:eastAsia="Calibri" w:hAnsi="Calibri" w:cs="Calibri"/>
          <w:sz w:val="24"/>
          <w:szCs w:val="24"/>
        </w:rPr>
      </w:pPr>
    </w:p>
    <w:p w:rsidR="00C9711A" w:rsidRPr="004F63E0" w:rsidRDefault="008571D3" w:rsidP="004F63E0">
      <w:pPr>
        <w:tabs>
          <w:tab w:val="left" w:pos="720"/>
        </w:tabs>
        <w:ind w:right="60"/>
        <w:rPr>
          <w:rFonts w:ascii="Calibri" w:eastAsia="Calibri" w:hAnsi="Calibri" w:cs="Calibri"/>
          <w:sz w:val="24"/>
          <w:szCs w:val="24"/>
        </w:rPr>
      </w:pPr>
      <w:r>
        <w:rPr>
          <w:rFonts w:ascii="Calibri" w:eastAsia="Calibri" w:hAnsi="Calibri" w:cs="Calibri"/>
          <w:sz w:val="24"/>
          <w:szCs w:val="24"/>
        </w:rPr>
        <w:t>This is a two-year fellowship, starting on July 1, 202</w:t>
      </w:r>
      <w:r w:rsidR="00A83379">
        <w:rPr>
          <w:rFonts w:ascii="Calibri" w:eastAsia="Calibri" w:hAnsi="Calibri" w:cs="Calibri"/>
          <w:sz w:val="24"/>
          <w:szCs w:val="24"/>
        </w:rPr>
        <w:t>1</w:t>
      </w:r>
      <w:r>
        <w:rPr>
          <w:rFonts w:ascii="Calibri" w:eastAsia="Calibri" w:hAnsi="Calibri" w:cs="Calibri"/>
          <w:sz w:val="24"/>
          <w:szCs w:val="24"/>
        </w:rPr>
        <w:t>, based in the Pharmacyclics offices, in the Bay Area, California.</w:t>
      </w:r>
      <w:r w:rsidR="002629C8">
        <w:rPr>
          <w:rFonts w:ascii="Calibri" w:eastAsia="Calibri" w:hAnsi="Calibri" w:cs="Calibri"/>
          <w:sz w:val="24"/>
          <w:szCs w:val="24"/>
        </w:rPr>
        <w:t xml:space="preserve"> Number of fellowships </w:t>
      </w:r>
      <w:r w:rsidR="00E87DF6">
        <w:rPr>
          <w:rFonts w:ascii="Calibri" w:eastAsia="Calibri" w:hAnsi="Calibri" w:cs="Calibri"/>
          <w:sz w:val="24"/>
          <w:szCs w:val="24"/>
        </w:rPr>
        <w:t xml:space="preserve">available </w:t>
      </w:r>
      <w:r w:rsidR="002629C8">
        <w:rPr>
          <w:rFonts w:ascii="Calibri" w:eastAsia="Calibri" w:hAnsi="Calibri" w:cs="Calibri"/>
          <w:sz w:val="24"/>
          <w:szCs w:val="24"/>
        </w:rPr>
        <w:t>is 2.</w:t>
      </w:r>
    </w:p>
    <w:sectPr w:rsidR="00C9711A" w:rsidRPr="004F63E0">
      <w:pgSz w:w="12240" w:h="15840"/>
      <w:pgMar w:top="1421" w:right="1440" w:bottom="1440" w:left="1440" w:header="0" w:footer="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8F8" w:rsidRDefault="003818F8" w:rsidP="00486A76">
      <w:r>
        <w:separator/>
      </w:r>
    </w:p>
  </w:endnote>
  <w:endnote w:type="continuationSeparator" w:id="0">
    <w:p w:rsidR="003818F8" w:rsidRDefault="003818F8" w:rsidP="00486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8F8" w:rsidRDefault="003818F8" w:rsidP="00486A76">
      <w:r>
        <w:separator/>
      </w:r>
    </w:p>
  </w:footnote>
  <w:footnote w:type="continuationSeparator" w:id="0">
    <w:p w:rsidR="003818F8" w:rsidRDefault="003818F8" w:rsidP="00486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A76" w:rsidRDefault="00486A76">
    <w:pPr>
      <w:pStyle w:val="Header"/>
    </w:pPr>
    <w:r w:rsidRPr="00CD4968">
      <w:rPr>
        <w:noProof/>
      </w:rPr>
      <w:drawing>
        <wp:anchor distT="0" distB="0" distL="114300" distR="114300" simplePos="0" relativeHeight="251658240" behindDoc="1" locked="0" layoutInCell="1" allowOverlap="1" wp14:anchorId="6BC73963" wp14:editId="54F18745">
          <wp:simplePos x="0" y="0"/>
          <wp:positionH relativeFrom="margin">
            <wp:align>left</wp:align>
          </wp:positionH>
          <wp:positionV relativeFrom="paragraph">
            <wp:posOffset>231159</wp:posOffset>
          </wp:positionV>
          <wp:extent cx="2721952" cy="571500"/>
          <wp:effectExtent l="0" t="0" r="2540" b="0"/>
          <wp:wrapNone/>
          <wp:docPr id="2" name="Picture 2" descr="C:\Users\kalaniz\Desktop\SPH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aniz\Desktop\SPH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1952" cy="5715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95CFF"/>
    <w:multiLevelType w:val="hybridMultilevel"/>
    <w:tmpl w:val="C3844216"/>
    <w:lvl w:ilvl="0" w:tplc="DBA4D340">
      <w:start w:val="1"/>
      <w:numFmt w:val="bullet"/>
      <w:lvlText w:val="•"/>
      <w:lvlJc w:val="left"/>
    </w:lvl>
    <w:lvl w:ilvl="1" w:tplc="CF16194C">
      <w:numFmt w:val="decimal"/>
      <w:lvlText w:val=""/>
      <w:lvlJc w:val="left"/>
    </w:lvl>
    <w:lvl w:ilvl="2" w:tplc="E08037D0">
      <w:numFmt w:val="decimal"/>
      <w:lvlText w:val=""/>
      <w:lvlJc w:val="left"/>
    </w:lvl>
    <w:lvl w:ilvl="3" w:tplc="A99AFC12">
      <w:numFmt w:val="decimal"/>
      <w:lvlText w:val=""/>
      <w:lvlJc w:val="left"/>
    </w:lvl>
    <w:lvl w:ilvl="4" w:tplc="FD0E8B22">
      <w:numFmt w:val="decimal"/>
      <w:lvlText w:val=""/>
      <w:lvlJc w:val="left"/>
    </w:lvl>
    <w:lvl w:ilvl="5" w:tplc="3850DD02">
      <w:numFmt w:val="decimal"/>
      <w:lvlText w:val=""/>
      <w:lvlJc w:val="left"/>
    </w:lvl>
    <w:lvl w:ilvl="6" w:tplc="5A5851FC">
      <w:numFmt w:val="decimal"/>
      <w:lvlText w:val=""/>
      <w:lvlJc w:val="left"/>
    </w:lvl>
    <w:lvl w:ilvl="7" w:tplc="9CA27CF6">
      <w:numFmt w:val="decimal"/>
      <w:lvlText w:val=""/>
      <w:lvlJc w:val="left"/>
    </w:lvl>
    <w:lvl w:ilvl="8" w:tplc="7D1641B8">
      <w:numFmt w:val="decimal"/>
      <w:lvlText w:val=""/>
      <w:lvlJc w:val="left"/>
    </w:lvl>
  </w:abstractNum>
  <w:abstractNum w:abstractNumId="1" w15:restartNumberingAfterBreak="0">
    <w:nsid w:val="2AE8944A"/>
    <w:multiLevelType w:val="hybridMultilevel"/>
    <w:tmpl w:val="ADD8C682"/>
    <w:lvl w:ilvl="0" w:tplc="E48A0AB8">
      <w:start w:val="1"/>
      <w:numFmt w:val="bullet"/>
      <w:lvlText w:val="•"/>
      <w:lvlJc w:val="left"/>
    </w:lvl>
    <w:lvl w:ilvl="1" w:tplc="945ACCF4">
      <w:numFmt w:val="decimal"/>
      <w:lvlText w:val=""/>
      <w:lvlJc w:val="left"/>
    </w:lvl>
    <w:lvl w:ilvl="2" w:tplc="27C0463C">
      <w:numFmt w:val="decimal"/>
      <w:lvlText w:val=""/>
      <w:lvlJc w:val="left"/>
    </w:lvl>
    <w:lvl w:ilvl="3" w:tplc="EA066E3A">
      <w:numFmt w:val="decimal"/>
      <w:lvlText w:val=""/>
      <w:lvlJc w:val="left"/>
    </w:lvl>
    <w:lvl w:ilvl="4" w:tplc="242E7DE6">
      <w:numFmt w:val="decimal"/>
      <w:lvlText w:val=""/>
      <w:lvlJc w:val="left"/>
    </w:lvl>
    <w:lvl w:ilvl="5" w:tplc="777E90EC">
      <w:numFmt w:val="decimal"/>
      <w:lvlText w:val=""/>
      <w:lvlJc w:val="left"/>
    </w:lvl>
    <w:lvl w:ilvl="6" w:tplc="441EB330">
      <w:numFmt w:val="decimal"/>
      <w:lvlText w:val=""/>
      <w:lvlJc w:val="left"/>
    </w:lvl>
    <w:lvl w:ilvl="7" w:tplc="D08C329E">
      <w:numFmt w:val="decimal"/>
      <w:lvlText w:val=""/>
      <w:lvlJc w:val="left"/>
    </w:lvl>
    <w:lvl w:ilvl="8" w:tplc="42CE35FA">
      <w:numFmt w:val="decimal"/>
      <w:lvlText w:val=""/>
      <w:lvlJc w:val="left"/>
    </w:lvl>
  </w:abstractNum>
  <w:abstractNum w:abstractNumId="2" w15:restartNumberingAfterBreak="0">
    <w:nsid w:val="625558EC"/>
    <w:multiLevelType w:val="hybridMultilevel"/>
    <w:tmpl w:val="02864FA2"/>
    <w:lvl w:ilvl="0" w:tplc="8E4204DE">
      <w:start w:val="1"/>
      <w:numFmt w:val="bullet"/>
      <w:lvlText w:val="•"/>
      <w:lvlJc w:val="left"/>
    </w:lvl>
    <w:lvl w:ilvl="1" w:tplc="29200DD6">
      <w:numFmt w:val="decimal"/>
      <w:lvlText w:val=""/>
      <w:lvlJc w:val="left"/>
    </w:lvl>
    <w:lvl w:ilvl="2" w:tplc="4B568D9C">
      <w:numFmt w:val="decimal"/>
      <w:lvlText w:val=""/>
      <w:lvlJc w:val="left"/>
    </w:lvl>
    <w:lvl w:ilvl="3" w:tplc="3372F1EE">
      <w:numFmt w:val="decimal"/>
      <w:lvlText w:val=""/>
      <w:lvlJc w:val="left"/>
    </w:lvl>
    <w:lvl w:ilvl="4" w:tplc="ECBEC352">
      <w:numFmt w:val="decimal"/>
      <w:lvlText w:val=""/>
      <w:lvlJc w:val="left"/>
    </w:lvl>
    <w:lvl w:ilvl="5" w:tplc="9C088BA8">
      <w:numFmt w:val="decimal"/>
      <w:lvlText w:val=""/>
      <w:lvlJc w:val="left"/>
    </w:lvl>
    <w:lvl w:ilvl="6" w:tplc="12DE1424">
      <w:numFmt w:val="decimal"/>
      <w:lvlText w:val=""/>
      <w:lvlJc w:val="left"/>
    </w:lvl>
    <w:lvl w:ilvl="7" w:tplc="2C7E5050">
      <w:numFmt w:val="decimal"/>
      <w:lvlText w:val=""/>
      <w:lvlJc w:val="left"/>
    </w:lvl>
    <w:lvl w:ilvl="8" w:tplc="93FCC9BE">
      <w:numFmt w:val="decimal"/>
      <w:lvlText w:val=""/>
      <w:lvlJc w:val="left"/>
    </w:lvl>
  </w:abstractNum>
  <w:abstractNum w:abstractNumId="3" w15:restartNumberingAfterBreak="0">
    <w:nsid w:val="74B0DC51"/>
    <w:multiLevelType w:val="hybridMultilevel"/>
    <w:tmpl w:val="651C6CDA"/>
    <w:lvl w:ilvl="0" w:tplc="80D8652A">
      <w:start w:val="1"/>
      <w:numFmt w:val="bullet"/>
      <w:lvlText w:val="•"/>
      <w:lvlJc w:val="left"/>
    </w:lvl>
    <w:lvl w:ilvl="1" w:tplc="6590D8DE">
      <w:numFmt w:val="decimal"/>
      <w:lvlText w:val=""/>
      <w:lvlJc w:val="left"/>
    </w:lvl>
    <w:lvl w:ilvl="2" w:tplc="6C82582E">
      <w:numFmt w:val="decimal"/>
      <w:lvlText w:val=""/>
      <w:lvlJc w:val="left"/>
    </w:lvl>
    <w:lvl w:ilvl="3" w:tplc="3EBAD05E">
      <w:numFmt w:val="decimal"/>
      <w:lvlText w:val=""/>
      <w:lvlJc w:val="left"/>
    </w:lvl>
    <w:lvl w:ilvl="4" w:tplc="612C5A6E">
      <w:numFmt w:val="decimal"/>
      <w:lvlText w:val=""/>
      <w:lvlJc w:val="left"/>
    </w:lvl>
    <w:lvl w:ilvl="5" w:tplc="9384CB9C">
      <w:numFmt w:val="decimal"/>
      <w:lvlText w:val=""/>
      <w:lvlJc w:val="left"/>
    </w:lvl>
    <w:lvl w:ilvl="6" w:tplc="B4884F2E">
      <w:numFmt w:val="decimal"/>
      <w:lvlText w:val=""/>
      <w:lvlJc w:val="left"/>
    </w:lvl>
    <w:lvl w:ilvl="7" w:tplc="F4CE4500">
      <w:numFmt w:val="decimal"/>
      <w:lvlText w:val=""/>
      <w:lvlJc w:val="left"/>
    </w:lvl>
    <w:lvl w:ilvl="8" w:tplc="9EE42662">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11A"/>
    <w:rsid w:val="000C2375"/>
    <w:rsid w:val="00176C57"/>
    <w:rsid w:val="00234E51"/>
    <w:rsid w:val="002629C8"/>
    <w:rsid w:val="002B380F"/>
    <w:rsid w:val="003818F8"/>
    <w:rsid w:val="00416226"/>
    <w:rsid w:val="00486A76"/>
    <w:rsid w:val="004F63E0"/>
    <w:rsid w:val="007831CF"/>
    <w:rsid w:val="008571D3"/>
    <w:rsid w:val="00991C9F"/>
    <w:rsid w:val="009D0283"/>
    <w:rsid w:val="00A83379"/>
    <w:rsid w:val="00C9711A"/>
    <w:rsid w:val="00CB3BDB"/>
    <w:rsid w:val="00D24BAB"/>
    <w:rsid w:val="00DE7E1E"/>
    <w:rsid w:val="00E51C66"/>
    <w:rsid w:val="00E84F8F"/>
    <w:rsid w:val="00E87DF6"/>
    <w:rsid w:val="00F2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6E5AED-92DB-4AB6-9A64-5BF64079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226"/>
    <w:rPr>
      <w:color w:val="0563C1" w:themeColor="hyperlink"/>
      <w:u w:val="single"/>
    </w:rPr>
  </w:style>
  <w:style w:type="character" w:customStyle="1" w:styleId="UnresolvedMention1">
    <w:name w:val="Unresolved Mention1"/>
    <w:basedOn w:val="DefaultParagraphFont"/>
    <w:uiPriority w:val="99"/>
    <w:semiHidden/>
    <w:unhideWhenUsed/>
    <w:rsid w:val="00416226"/>
    <w:rPr>
      <w:color w:val="605E5C"/>
      <w:shd w:val="clear" w:color="auto" w:fill="E1DFDD"/>
    </w:rPr>
  </w:style>
  <w:style w:type="paragraph" w:styleId="BalloonText">
    <w:name w:val="Balloon Text"/>
    <w:basedOn w:val="Normal"/>
    <w:link w:val="BalloonTextChar"/>
    <w:uiPriority w:val="99"/>
    <w:semiHidden/>
    <w:unhideWhenUsed/>
    <w:rsid w:val="004F6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3E0"/>
    <w:rPr>
      <w:rFonts w:ascii="Segoe UI" w:hAnsi="Segoe UI" w:cs="Segoe UI"/>
      <w:sz w:val="18"/>
      <w:szCs w:val="18"/>
    </w:rPr>
  </w:style>
  <w:style w:type="paragraph" w:styleId="Header">
    <w:name w:val="header"/>
    <w:basedOn w:val="Normal"/>
    <w:link w:val="HeaderChar"/>
    <w:uiPriority w:val="99"/>
    <w:unhideWhenUsed/>
    <w:rsid w:val="00486A76"/>
    <w:pPr>
      <w:tabs>
        <w:tab w:val="center" w:pos="4680"/>
        <w:tab w:val="right" w:pos="9360"/>
      </w:tabs>
    </w:pPr>
  </w:style>
  <w:style w:type="character" w:customStyle="1" w:styleId="HeaderChar">
    <w:name w:val="Header Char"/>
    <w:basedOn w:val="DefaultParagraphFont"/>
    <w:link w:val="Header"/>
    <w:uiPriority w:val="99"/>
    <w:rsid w:val="00486A76"/>
  </w:style>
  <w:style w:type="paragraph" w:styleId="Footer">
    <w:name w:val="footer"/>
    <w:basedOn w:val="Normal"/>
    <w:link w:val="FooterChar"/>
    <w:uiPriority w:val="99"/>
    <w:unhideWhenUsed/>
    <w:rsid w:val="00486A76"/>
    <w:pPr>
      <w:tabs>
        <w:tab w:val="center" w:pos="4680"/>
        <w:tab w:val="right" w:pos="9360"/>
      </w:tabs>
    </w:pPr>
  </w:style>
  <w:style w:type="character" w:customStyle="1" w:styleId="FooterChar">
    <w:name w:val="Footer Char"/>
    <w:basedOn w:val="DefaultParagraphFont"/>
    <w:link w:val="Footer"/>
    <w:uiPriority w:val="99"/>
    <w:rsid w:val="00486A76"/>
  </w:style>
  <w:style w:type="character" w:customStyle="1" w:styleId="UnresolvedMention">
    <w:name w:val="Unresolved Mention"/>
    <w:basedOn w:val="DefaultParagraphFont"/>
    <w:uiPriority w:val="99"/>
    <w:semiHidden/>
    <w:unhideWhenUsed/>
    <w:rsid w:val="00234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harmacycl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gifellowships@kgi.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Erica Ruiz</cp:lastModifiedBy>
  <cp:revision>2</cp:revision>
  <dcterms:created xsi:type="dcterms:W3CDTF">2020-09-24T18:24:00Z</dcterms:created>
  <dcterms:modified xsi:type="dcterms:W3CDTF">2020-09-24T18:24:00Z</dcterms:modified>
</cp:coreProperties>
</file>